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C281B" w14:textId="77777777" w:rsidR="00C64B1B" w:rsidRPr="00E1459D" w:rsidRDefault="00C64B1B" w:rsidP="00C64B1B">
      <w:pPr>
        <w:jc w:val="center"/>
        <w:rPr>
          <w:rFonts w:asciiTheme="minorHAnsi" w:hAnsiTheme="minorHAnsi" w:cstheme="minorHAnsi"/>
          <w:sz w:val="22"/>
          <w:szCs w:val="22"/>
        </w:rP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4678"/>
        <w:gridCol w:w="5812"/>
        <w:gridCol w:w="1359"/>
      </w:tblGrid>
      <w:tr w:rsidR="00A06425" w:rsidRPr="00E1459D" w14:paraId="36BDF481" w14:textId="77777777" w:rsidTr="00A06425">
        <w:tc>
          <w:tcPr>
            <w:tcW w:w="15388" w:type="dxa"/>
            <w:gridSpan w:val="6"/>
            <w:shd w:val="clear" w:color="auto" w:fill="auto"/>
            <w:vAlign w:val="center"/>
          </w:tcPr>
          <w:p w14:paraId="6D7B8E64" w14:textId="77777777" w:rsidR="00A06425" w:rsidRPr="00E1459D" w:rsidRDefault="00A06425" w:rsidP="00B871B6">
            <w:pPr>
              <w:spacing w:before="120" w:after="120"/>
              <w:rPr>
                <w:rFonts w:asciiTheme="minorHAnsi" w:hAnsiTheme="minorHAnsi" w:cstheme="minorHAnsi"/>
                <w:i/>
                <w:sz w:val="22"/>
                <w:szCs w:val="22"/>
              </w:rPr>
            </w:pPr>
            <w:r w:rsidRPr="00E1459D">
              <w:rPr>
                <w:rFonts w:asciiTheme="minorHAnsi" w:hAnsiTheme="minorHAnsi" w:cstheme="minorHAnsi"/>
                <w:i/>
                <w:sz w:val="22"/>
                <w:szCs w:val="22"/>
              </w:rPr>
              <w:t>Nazwa dokumentu:</w:t>
            </w:r>
          </w:p>
          <w:p w14:paraId="38127276" w14:textId="77777777" w:rsidR="00A06425" w:rsidRPr="00E1459D" w:rsidRDefault="00A06425" w:rsidP="00B871B6">
            <w:pPr>
              <w:spacing w:before="120" w:after="120"/>
              <w:rPr>
                <w:rFonts w:asciiTheme="minorHAnsi" w:hAnsiTheme="minorHAnsi" w:cstheme="minorHAnsi"/>
                <w:i/>
                <w:sz w:val="22"/>
                <w:szCs w:val="22"/>
              </w:rPr>
            </w:pPr>
          </w:p>
        </w:tc>
      </w:tr>
      <w:tr w:rsidR="00A06425" w:rsidRPr="00E1459D" w14:paraId="14D423D8" w14:textId="77777777" w:rsidTr="00A06425">
        <w:tc>
          <w:tcPr>
            <w:tcW w:w="562" w:type="dxa"/>
            <w:shd w:val="clear" w:color="auto" w:fill="auto"/>
            <w:vAlign w:val="center"/>
          </w:tcPr>
          <w:p w14:paraId="3059D853" w14:textId="77777777" w:rsidR="00A06425" w:rsidRPr="00E1459D" w:rsidRDefault="00A06425" w:rsidP="004D086F">
            <w:pPr>
              <w:jc w:val="center"/>
              <w:rPr>
                <w:rFonts w:asciiTheme="minorHAnsi" w:hAnsiTheme="minorHAnsi" w:cstheme="minorHAnsi"/>
                <w:sz w:val="22"/>
                <w:szCs w:val="22"/>
              </w:rPr>
            </w:pPr>
            <w:r w:rsidRPr="00E1459D">
              <w:rPr>
                <w:rFonts w:asciiTheme="minorHAnsi" w:hAnsiTheme="minorHAnsi" w:cstheme="minorHAnsi"/>
                <w:sz w:val="22"/>
                <w:szCs w:val="22"/>
              </w:rPr>
              <w:t>Lp.</w:t>
            </w:r>
          </w:p>
        </w:tc>
        <w:tc>
          <w:tcPr>
            <w:tcW w:w="1134" w:type="dxa"/>
            <w:shd w:val="clear" w:color="auto" w:fill="auto"/>
            <w:vAlign w:val="center"/>
          </w:tcPr>
          <w:p w14:paraId="01CCAB5E" w14:textId="77777777" w:rsidR="00A06425" w:rsidRPr="00E1459D" w:rsidRDefault="00A06425" w:rsidP="004D086F">
            <w:pPr>
              <w:jc w:val="center"/>
              <w:rPr>
                <w:rFonts w:asciiTheme="minorHAnsi" w:hAnsiTheme="minorHAnsi" w:cstheme="minorHAnsi"/>
                <w:sz w:val="22"/>
                <w:szCs w:val="22"/>
              </w:rPr>
            </w:pPr>
            <w:r w:rsidRPr="00E1459D">
              <w:rPr>
                <w:rFonts w:asciiTheme="minorHAnsi" w:hAnsiTheme="minorHAnsi" w:cstheme="minorHAnsi"/>
                <w:sz w:val="22"/>
                <w:szCs w:val="22"/>
              </w:rPr>
              <w:t>Organ wnoszący uwagi</w:t>
            </w:r>
          </w:p>
        </w:tc>
        <w:tc>
          <w:tcPr>
            <w:tcW w:w="1843" w:type="dxa"/>
            <w:shd w:val="clear" w:color="auto" w:fill="auto"/>
            <w:vAlign w:val="center"/>
          </w:tcPr>
          <w:p w14:paraId="23D6E601" w14:textId="77777777" w:rsidR="00A06425" w:rsidRPr="00E1459D" w:rsidRDefault="00A06425" w:rsidP="004D086F">
            <w:pPr>
              <w:jc w:val="center"/>
              <w:rPr>
                <w:rFonts w:asciiTheme="minorHAnsi" w:hAnsiTheme="minorHAnsi" w:cstheme="minorHAnsi"/>
                <w:sz w:val="22"/>
                <w:szCs w:val="22"/>
              </w:rPr>
            </w:pPr>
            <w:r w:rsidRPr="00E1459D">
              <w:rPr>
                <w:rFonts w:asciiTheme="minorHAnsi" w:hAnsiTheme="minorHAnsi" w:cstheme="minorHAnsi"/>
                <w:sz w:val="22"/>
                <w:szCs w:val="22"/>
              </w:rPr>
              <w:t>Jednostka redakcyjna, do której wnoszone są uwagi</w:t>
            </w:r>
          </w:p>
        </w:tc>
        <w:tc>
          <w:tcPr>
            <w:tcW w:w="4678" w:type="dxa"/>
            <w:shd w:val="clear" w:color="auto" w:fill="auto"/>
            <w:vAlign w:val="center"/>
          </w:tcPr>
          <w:p w14:paraId="06427854" w14:textId="77777777" w:rsidR="00A06425" w:rsidRPr="00E1459D" w:rsidRDefault="00A06425" w:rsidP="004D086F">
            <w:pPr>
              <w:jc w:val="center"/>
              <w:rPr>
                <w:rFonts w:asciiTheme="minorHAnsi" w:hAnsiTheme="minorHAnsi" w:cstheme="minorHAnsi"/>
                <w:sz w:val="22"/>
                <w:szCs w:val="22"/>
              </w:rPr>
            </w:pPr>
            <w:r w:rsidRPr="00E1459D">
              <w:rPr>
                <w:rFonts w:asciiTheme="minorHAnsi" w:hAnsiTheme="minorHAnsi" w:cstheme="minorHAnsi"/>
                <w:sz w:val="22"/>
                <w:szCs w:val="22"/>
              </w:rPr>
              <w:t>Treść uwagi</w:t>
            </w:r>
          </w:p>
        </w:tc>
        <w:tc>
          <w:tcPr>
            <w:tcW w:w="5812" w:type="dxa"/>
            <w:shd w:val="clear" w:color="auto" w:fill="auto"/>
            <w:vAlign w:val="center"/>
          </w:tcPr>
          <w:p w14:paraId="3F0EEF54" w14:textId="77777777" w:rsidR="00A06425" w:rsidRPr="00E1459D" w:rsidRDefault="00A06425" w:rsidP="004D086F">
            <w:pPr>
              <w:jc w:val="center"/>
              <w:rPr>
                <w:rFonts w:asciiTheme="minorHAnsi" w:hAnsiTheme="minorHAnsi" w:cstheme="minorHAnsi"/>
                <w:sz w:val="22"/>
                <w:szCs w:val="22"/>
              </w:rPr>
            </w:pPr>
            <w:r w:rsidRPr="00E1459D">
              <w:rPr>
                <w:rFonts w:asciiTheme="minorHAnsi" w:hAnsiTheme="minorHAnsi" w:cstheme="minorHAnsi"/>
                <w:sz w:val="22"/>
                <w:szCs w:val="22"/>
              </w:rPr>
              <w:t>Propozycja zmian zapisu</w:t>
            </w:r>
          </w:p>
        </w:tc>
        <w:tc>
          <w:tcPr>
            <w:tcW w:w="1359" w:type="dxa"/>
            <w:vAlign w:val="center"/>
          </w:tcPr>
          <w:p w14:paraId="3B0047ED" w14:textId="77777777" w:rsidR="00A06425" w:rsidRPr="00E1459D" w:rsidRDefault="00A06425" w:rsidP="00A06425">
            <w:pPr>
              <w:jc w:val="center"/>
              <w:rPr>
                <w:rFonts w:asciiTheme="minorHAnsi" w:hAnsiTheme="minorHAnsi" w:cstheme="minorHAnsi"/>
                <w:sz w:val="22"/>
                <w:szCs w:val="22"/>
              </w:rPr>
            </w:pPr>
            <w:r w:rsidRPr="00E1459D">
              <w:rPr>
                <w:rFonts w:asciiTheme="minorHAnsi" w:hAnsiTheme="minorHAnsi" w:cstheme="minorHAnsi"/>
                <w:sz w:val="22"/>
                <w:szCs w:val="22"/>
              </w:rPr>
              <w:t>Odniesienie do uwagi</w:t>
            </w:r>
          </w:p>
        </w:tc>
      </w:tr>
      <w:tr w:rsidR="00A06425" w:rsidRPr="00E1459D" w14:paraId="7FCFAA65" w14:textId="77777777" w:rsidTr="00A06425">
        <w:tc>
          <w:tcPr>
            <w:tcW w:w="562" w:type="dxa"/>
            <w:shd w:val="clear" w:color="auto" w:fill="auto"/>
          </w:tcPr>
          <w:p w14:paraId="296FD9A8" w14:textId="77777777" w:rsidR="00A06425" w:rsidRPr="00E1459D" w:rsidRDefault="00A06425" w:rsidP="00A06425">
            <w:pPr>
              <w:spacing w:before="120" w:after="120"/>
              <w:jc w:val="center"/>
              <w:rPr>
                <w:rFonts w:asciiTheme="minorHAnsi" w:hAnsiTheme="minorHAnsi" w:cstheme="minorHAnsi"/>
                <w:sz w:val="22"/>
                <w:szCs w:val="22"/>
              </w:rPr>
            </w:pPr>
            <w:r w:rsidRPr="00E1459D">
              <w:rPr>
                <w:rFonts w:asciiTheme="minorHAnsi" w:hAnsiTheme="minorHAnsi" w:cstheme="minorHAnsi"/>
                <w:sz w:val="22"/>
                <w:szCs w:val="22"/>
              </w:rPr>
              <w:t>1</w:t>
            </w:r>
          </w:p>
        </w:tc>
        <w:tc>
          <w:tcPr>
            <w:tcW w:w="1134" w:type="dxa"/>
            <w:shd w:val="clear" w:color="auto" w:fill="auto"/>
          </w:tcPr>
          <w:p w14:paraId="42FDC0BF" w14:textId="7C27368F" w:rsidR="00A06425" w:rsidRPr="00E1459D" w:rsidRDefault="00E1459D" w:rsidP="004D086F">
            <w:pPr>
              <w:spacing w:before="60" w:after="60"/>
              <w:jc w:val="center"/>
              <w:rPr>
                <w:rFonts w:asciiTheme="minorHAnsi" w:hAnsiTheme="minorHAnsi" w:cstheme="minorHAnsi"/>
                <w:sz w:val="22"/>
                <w:szCs w:val="22"/>
              </w:rPr>
            </w:pPr>
            <w:r w:rsidRPr="00E1459D">
              <w:rPr>
                <w:rFonts w:asciiTheme="minorHAnsi" w:hAnsiTheme="minorHAnsi" w:cstheme="minorHAnsi"/>
                <w:sz w:val="22"/>
                <w:szCs w:val="22"/>
              </w:rPr>
              <w:t>PUODO</w:t>
            </w:r>
          </w:p>
        </w:tc>
        <w:tc>
          <w:tcPr>
            <w:tcW w:w="1843" w:type="dxa"/>
            <w:shd w:val="clear" w:color="auto" w:fill="auto"/>
          </w:tcPr>
          <w:p w14:paraId="1BD83A81" w14:textId="0764FCA5" w:rsidR="00A06425" w:rsidRPr="00E1459D" w:rsidRDefault="00E1459D" w:rsidP="004D086F">
            <w:pPr>
              <w:jc w:val="center"/>
              <w:rPr>
                <w:rFonts w:asciiTheme="minorHAnsi" w:hAnsiTheme="minorHAnsi" w:cstheme="minorHAnsi"/>
                <w:sz w:val="22"/>
                <w:szCs w:val="22"/>
              </w:rPr>
            </w:pPr>
            <w:r w:rsidRPr="00E1459D">
              <w:rPr>
                <w:rFonts w:asciiTheme="minorHAnsi" w:hAnsiTheme="minorHAnsi" w:cstheme="minorHAnsi"/>
                <w:sz w:val="22"/>
                <w:szCs w:val="22"/>
              </w:rPr>
              <w:t>pkt 6, otoczenie prawne</w:t>
            </w:r>
          </w:p>
        </w:tc>
        <w:tc>
          <w:tcPr>
            <w:tcW w:w="4678" w:type="dxa"/>
            <w:shd w:val="clear" w:color="auto" w:fill="auto"/>
          </w:tcPr>
          <w:p w14:paraId="25D4C3E7" w14:textId="77777777" w:rsidR="00E1459D" w:rsidRPr="00E1459D" w:rsidRDefault="00E1459D" w:rsidP="00E1459D">
            <w:pPr>
              <w:rPr>
                <w:rFonts w:asciiTheme="minorHAnsi" w:hAnsiTheme="minorHAnsi" w:cstheme="minorHAnsi"/>
                <w:sz w:val="22"/>
                <w:szCs w:val="22"/>
              </w:rPr>
            </w:pPr>
            <w:r w:rsidRPr="00E1459D">
              <w:rPr>
                <w:rFonts w:asciiTheme="minorHAnsi" w:hAnsiTheme="minorHAnsi" w:cstheme="minorHAnsi"/>
                <w:sz w:val="22"/>
                <w:szCs w:val="22"/>
              </w:rPr>
              <w:t xml:space="preserve">Konieczne jest jednak </w:t>
            </w:r>
            <w:r w:rsidRPr="00E1459D">
              <w:rPr>
                <w:rFonts w:asciiTheme="minorHAnsi" w:eastAsiaTheme="minorHAnsi" w:hAnsiTheme="minorHAnsi" w:cstheme="minorHAnsi"/>
                <w:sz w:val="22"/>
                <w:szCs w:val="22"/>
                <w:lang w:eastAsia="en-US"/>
              </w:rPr>
              <w:t xml:space="preserve">podjęcie działań legislacyjnych mających na celu określenie właściwej regulacji ustawowej dla przetwarzania </w:t>
            </w:r>
            <w:r w:rsidRPr="00E1459D">
              <w:rPr>
                <w:rFonts w:asciiTheme="minorHAnsi" w:hAnsiTheme="minorHAnsi" w:cstheme="minorHAnsi"/>
                <w:sz w:val="22"/>
                <w:szCs w:val="22"/>
              </w:rPr>
              <w:t xml:space="preserve">przez podmioty objęte projektem </w:t>
            </w:r>
            <w:r w:rsidRPr="00E1459D">
              <w:rPr>
                <w:rFonts w:asciiTheme="minorHAnsi" w:eastAsiaTheme="minorHAnsi" w:hAnsiTheme="minorHAnsi" w:cstheme="minorHAnsi"/>
                <w:sz w:val="22"/>
                <w:szCs w:val="22"/>
                <w:lang w:eastAsia="en-US"/>
              </w:rPr>
              <w:t>danych osobowych</w:t>
            </w:r>
            <w:r w:rsidRPr="00E1459D">
              <w:rPr>
                <w:rFonts w:asciiTheme="minorHAnsi" w:hAnsiTheme="minorHAnsi" w:cstheme="minorHAnsi"/>
                <w:sz w:val="22"/>
                <w:szCs w:val="22"/>
              </w:rPr>
              <w:t xml:space="preserve"> </w:t>
            </w:r>
            <w:r w:rsidRPr="00E1459D">
              <w:rPr>
                <w:rFonts w:asciiTheme="minorHAnsi" w:eastAsiaTheme="minorHAnsi" w:hAnsiTheme="minorHAnsi" w:cstheme="minorHAnsi"/>
                <w:sz w:val="22"/>
                <w:szCs w:val="22"/>
                <w:lang w:eastAsia="en-US"/>
              </w:rPr>
              <w:t>dla tak określonych celów oraz sposobów przetwarzania</w:t>
            </w:r>
            <w:r w:rsidRPr="00E1459D">
              <w:rPr>
                <w:rFonts w:asciiTheme="minorHAnsi" w:hAnsiTheme="minorHAnsi" w:cstheme="minorHAnsi"/>
                <w:sz w:val="22"/>
                <w:szCs w:val="22"/>
              </w:rPr>
              <w:t>, w tym w związku z korzystaniem z nowych technologii</w:t>
            </w:r>
            <w:r w:rsidRPr="00E1459D">
              <w:rPr>
                <w:rFonts w:asciiTheme="minorHAnsi" w:eastAsiaTheme="minorHAnsi" w:hAnsiTheme="minorHAnsi" w:cstheme="minorHAnsi"/>
                <w:sz w:val="22"/>
                <w:szCs w:val="22"/>
                <w:lang w:eastAsia="en-US"/>
              </w:rPr>
              <w:t xml:space="preserve"> w </w:t>
            </w:r>
            <w:r w:rsidRPr="00E1459D">
              <w:rPr>
                <w:rFonts w:asciiTheme="minorHAnsi" w:hAnsiTheme="minorHAnsi" w:cstheme="minorHAnsi"/>
                <w:sz w:val="22"/>
                <w:szCs w:val="22"/>
              </w:rPr>
              <w:t>projektowanym</w:t>
            </w:r>
            <w:r w:rsidRPr="00E1459D">
              <w:rPr>
                <w:rFonts w:asciiTheme="minorHAnsi" w:eastAsiaTheme="minorHAnsi" w:hAnsiTheme="minorHAnsi" w:cstheme="minorHAnsi"/>
                <w:sz w:val="22"/>
                <w:szCs w:val="22"/>
                <w:lang w:eastAsia="en-US"/>
              </w:rPr>
              <w:t xml:space="preserve"> systemie</w:t>
            </w:r>
            <w:r w:rsidRPr="00E1459D">
              <w:rPr>
                <w:rFonts w:asciiTheme="minorHAnsi" w:hAnsiTheme="minorHAnsi" w:cstheme="minorHAnsi"/>
                <w:sz w:val="22"/>
                <w:szCs w:val="22"/>
              </w:rPr>
              <w:t xml:space="preserve">, ze względu także na szeroki zakres i charakter przetwarzanych także dotyczących zdrowia (szczególnych kategorii w rozumieniu przepisów rozporządzenia 2016/679). </w:t>
            </w:r>
          </w:p>
          <w:p w14:paraId="6E6C2C70" w14:textId="77777777" w:rsidR="00E1459D" w:rsidRPr="00E1459D" w:rsidRDefault="00E1459D" w:rsidP="00E1459D">
            <w:pPr>
              <w:rPr>
                <w:rFonts w:asciiTheme="minorHAnsi" w:hAnsiTheme="minorHAnsi" w:cstheme="minorHAnsi"/>
                <w:color w:val="000000"/>
                <w:sz w:val="22"/>
                <w:szCs w:val="22"/>
              </w:rPr>
            </w:pPr>
            <w:r w:rsidRPr="00E1459D">
              <w:rPr>
                <w:rFonts w:asciiTheme="minorHAnsi" w:hAnsiTheme="minorHAnsi" w:cstheme="minorHAnsi"/>
                <w:sz w:val="22"/>
                <w:szCs w:val="22"/>
              </w:rPr>
              <w:t xml:space="preserve">Przypomnieć trzeba, że </w:t>
            </w:r>
            <w:r w:rsidRPr="00E1459D">
              <w:rPr>
                <w:rFonts w:asciiTheme="minorHAnsi" w:hAnsiTheme="minorHAnsi" w:cstheme="minorHAnsi"/>
                <w:color w:val="000000"/>
                <w:sz w:val="22"/>
                <w:szCs w:val="22"/>
              </w:rPr>
              <w:t>Prezes UODO w piśmie z 1 września 2025 r. wystąpił do Ministra Cyfryzacji oraz Ministra Zdrowia z wnioskiem o podjęcie działań legislacyjnych w kierunku określenia właściwej podstawy prawnej dla udostępnienia danych medycznych w celach naukowych i badawczych w formacie spseudonimizowanym</w:t>
            </w:r>
            <w:r w:rsidRPr="00E1459D">
              <w:rPr>
                <w:rStyle w:val="Odwoanieprzypisudolnego"/>
                <w:rFonts w:asciiTheme="minorHAnsi" w:hAnsiTheme="minorHAnsi" w:cstheme="minorHAnsi"/>
                <w:color w:val="000000"/>
                <w:sz w:val="22"/>
                <w:szCs w:val="22"/>
              </w:rPr>
              <w:footnoteReference w:id="1"/>
            </w:r>
            <w:r w:rsidRPr="00E1459D">
              <w:rPr>
                <w:rFonts w:asciiTheme="minorHAnsi" w:hAnsiTheme="minorHAnsi" w:cstheme="minorHAnsi"/>
                <w:color w:val="000000"/>
                <w:sz w:val="22"/>
                <w:szCs w:val="22"/>
              </w:rPr>
              <w:t>. Aktualny stan prawny (art. 26 ust. 4 ustawy o prawach pacjenta i Rzeczniku Praw Pacjenta</w:t>
            </w:r>
            <w:r w:rsidRPr="00E1459D">
              <w:rPr>
                <w:rStyle w:val="Odwoanieprzypisudolnego"/>
                <w:rFonts w:asciiTheme="minorHAnsi" w:hAnsiTheme="minorHAnsi" w:cstheme="minorHAnsi"/>
                <w:color w:val="000000"/>
                <w:sz w:val="22"/>
                <w:szCs w:val="22"/>
              </w:rPr>
              <w:footnoteReference w:id="2"/>
            </w:r>
            <w:r w:rsidRPr="00E1459D">
              <w:rPr>
                <w:rFonts w:asciiTheme="minorHAnsi" w:hAnsiTheme="minorHAnsi" w:cstheme="minorHAnsi"/>
                <w:color w:val="000000"/>
                <w:sz w:val="22"/>
                <w:szCs w:val="22"/>
              </w:rPr>
              <w:t>) u</w:t>
            </w:r>
            <w:r w:rsidRPr="00E1459D">
              <w:rPr>
                <w:rFonts w:asciiTheme="minorHAnsi" w:hAnsiTheme="minorHAnsi" w:cstheme="minorHAnsi"/>
                <w:color w:val="333333"/>
                <w:sz w:val="22"/>
                <w:szCs w:val="22"/>
              </w:rPr>
              <w:t xml:space="preserve">możliwia bowiem </w:t>
            </w:r>
            <w:r w:rsidRPr="00E1459D">
              <w:rPr>
                <w:rFonts w:asciiTheme="minorHAnsi" w:hAnsiTheme="minorHAnsi" w:cstheme="minorHAnsi"/>
                <w:color w:val="000000"/>
                <w:sz w:val="22"/>
                <w:szCs w:val="22"/>
              </w:rPr>
              <w:t xml:space="preserve">udostępnienie dokumentacji medycznej pod warunkiem dokonania anonimizacji danych osobowych w tej dokumentacji zawartych, a regulacje prawne pozostają względem w siebie w relacji budzącej wątpliwości interpretacyjne, jak też ich zakres nie odpowiada potrzebom wynikającym z celu </w:t>
            </w:r>
            <w:r w:rsidRPr="00E1459D">
              <w:rPr>
                <w:rFonts w:asciiTheme="minorHAnsi" w:hAnsiTheme="minorHAnsi" w:cstheme="minorHAnsi"/>
                <w:color w:val="000000"/>
                <w:sz w:val="22"/>
                <w:szCs w:val="22"/>
              </w:rPr>
              <w:lastRenderedPageBreak/>
              <w:t>prowadzenia badań naukowych i udzielania świadczeń leczniczych (art. 26 ust. 4 ustawy o prawach pacjenta i Rzeczniku Praw Pacjenta w zw. z art. 469b ust. 2-4 ustawy Prawo o szkolnictwie wyższym i nauce</w:t>
            </w:r>
            <w:r w:rsidRPr="00E1459D">
              <w:rPr>
                <w:rStyle w:val="Odwoanieprzypisudolnego"/>
                <w:rFonts w:asciiTheme="minorHAnsi" w:hAnsiTheme="minorHAnsi" w:cstheme="minorHAnsi"/>
                <w:color w:val="000000"/>
                <w:sz w:val="22"/>
                <w:szCs w:val="22"/>
              </w:rPr>
              <w:footnoteReference w:id="3"/>
            </w:r>
            <w:r w:rsidRPr="00E1459D">
              <w:rPr>
                <w:rFonts w:asciiTheme="minorHAnsi" w:hAnsiTheme="minorHAnsi" w:cstheme="minorHAnsi"/>
                <w:color w:val="000000"/>
                <w:sz w:val="22"/>
                <w:szCs w:val="22"/>
              </w:rPr>
              <w:t xml:space="preserve"> a także art. 15 ust. 3 i następne ustawy z o Agencji Badań Medycznych</w:t>
            </w:r>
            <w:r w:rsidRPr="00E1459D">
              <w:rPr>
                <w:rStyle w:val="Odwoanieprzypisudolnego"/>
                <w:rFonts w:asciiTheme="minorHAnsi" w:hAnsiTheme="minorHAnsi" w:cstheme="minorHAnsi"/>
                <w:color w:val="000000"/>
                <w:sz w:val="22"/>
                <w:szCs w:val="22"/>
              </w:rPr>
              <w:footnoteReference w:id="4"/>
            </w:r>
            <w:r w:rsidRPr="00E1459D">
              <w:rPr>
                <w:rFonts w:asciiTheme="minorHAnsi" w:hAnsiTheme="minorHAnsi" w:cstheme="minorHAnsi"/>
                <w:color w:val="000000"/>
                <w:sz w:val="22"/>
                <w:szCs w:val="22"/>
              </w:rPr>
              <w:t xml:space="preserve">). </w:t>
            </w:r>
          </w:p>
          <w:p w14:paraId="46F1B561" w14:textId="77777777" w:rsidR="00E1459D" w:rsidRPr="00E1459D" w:rsidRDefault="00E1459D" w:rsidP="00E1459D">
            <w:pPr>
              <w:ind w:firstLine="708"/>
              <w:rPr>
                <w:rFonts w:asciiTheme="minorHAnsi" w:hAnsiTheme="minorHAnsi" w:cstheme="minorHAnsi"/>
                <w:sz w:val="22"/>
                <w:szCs w:val="22"/>
              </w:rPr>
            </w:pPr>
            <w:r w:rsidRPr="00E1459D">
              <w:rPr>
                <w:rFonts w:asciiTheme="minorHAnsi" w:hAnsiTheme="minorHAnsi" w:cstheme="minorHAnsi"/>
                <w:color w:val="000000"/>
                <w:sz w:val="22"/>
                <w:szCs w:val="22"/>
              </w:rPr>
              <w:t>Konieczne jest natomiast – także dla dobra i komfortu prawnego wykonawców projektu - dostosowanie prawa krajowego do przepisów EHDS</w:t>
            </w:r>
            <w:r w:rsidRPr="00E1459D">
              <w:rPr>
                <w:rStyle w:val="Odwoanieprzypisudolnego"/>
                <w:rFonts w:asciiTheme="minorHAnsi" w:hAnsiTheme="minorHAnsi" w:cstheme="minorHAnsi"/>
                <w:color w:val="000000"/>
                <w:sz w:val="22"/>
                <w:szCs w:val="22"/>
              </w:rPr>
              <w:footnoteReference w:id="5"/>
            </w:r>
            <w:r w:rsidRPr="00E1459D">
              <w:rPr>
                <w:rFonts w:asciiTheme="minorHAnsi" w:hAnsiTheme="minorHAnsi" w:cstheme="minorHAnsi"/>
                <w:color w:val="000000"/>
                <w:sz w:val="22"/>
                <w:szCs w:val="22"/>
              </w:rPr>
              <w:t xml:space="preserve">, które umożliwiają, w sytuacjach wyraźnie uzasadnionych oraz niezbędnych dla celów badań naukowych, przetwarzanie danych speudonimizowanych. </w:t>
            </w:r>
          </w:p>
          <w:p w14:paraId="5149158B" w14:textId="77777777" w:rsidR="00A06425" w:rsidRPr="00E1459D" w:rsidRDefault="00A06425" w:rsidP="004D086F">
            <w:pPr>
              <w:jc w:val="center"/>
              <w:rPr>
                <w:rFonts w:asciiTheme="minorHAnsi" w:hAnsiTheme="minorHAnsi" w:cstheme="minorHAnsi"/>
                <w:sz w:val="22"/>
                <w:szCs w:val="22"/>
              </w:rPr>
            </w:pPr>
          </w:p>
        </w:tc>
        <w:tc>
          <w:tcPr>
            <w:tcW w:w="5812" w:type="dxa"/>
            <w:shd w:val="clear" w:color="auto" w:fill="auto"/>
          </w:tcPr>
          <w:p w14:paraId="7BCC558D" w14:textId="08ABFC3D" w:rsidR="00A06425" w:rsidRPr="00E1459D" w:rsidRDefault="00E1459D" w:rsidP="00E1459D">
            <w:pPr>
              <w:rPr>
                <w:rFonts w:asciiTheme="minorHAnsi" w:hAnsiTheme="minorHAnsi" w:cstheme="minorHAnsi"/>
                <w:sz w:val="22"/>
                <w:szCs w:val="22"/>
              </w:rPr>
            </w:pPr>
            <w:r w:rsidRPr="00E1459D">
              <w:rPr>
                <w:rFonts w:asciiTheme="minorHAnsi" w:hAnsiTheme="minorHAnsi" w:cstheme="minorHAnsi"/>
                <w:color w:val="000000"/>
                <w:sz w:val="22"/>
                <w:szCs w:val="22"/>
              </w:rPr>
              <w:lastRenderedPageBreak/>
              <w:t xml:space="preserve">art. 26 ust. 4 ustawy o prawach pacjenta i Rzeczniku Praw Pacjenta – wymaga zmian </w:t>
            </w:r>
          </w:p>
        </w:tc>
        <w:tc>
          <w:tcPr>
            <w:tcW w:w="1359" w:type="dxa"/>
          </w:tcPr>
          <w:p w14:paraId="68FAFD2E" w14:textId="77777777" w:rsidR="00A06425" w:rsidRPr="00E1459D" w:rsidRDefault="00A06425" w:rsidP="004D086F">
            <w:pPr>
              <w:jc w:val="center"/>
              <w:rPr>
                <w:rFonts w:asciiTheme="minorHAnsi" w:hAnsiTheme="minorHAnsi" w:cstheme="minorHAnsi"/>
                <w:sz w:val="22"/>
                <w:szCs w:val="22"/>
              </w:rPr>
            </w:pPr>
          </w:p>
        </w:tc>
      </w:tr>
      <w:tr w:rsidR="00A06425" w:rsidRPr="00E1459D" w14:paraId="6A811A0C" w14:textId="77777777" w:rsidTr="00A06425">
        <w:tc>
          <w:tcPr>
            <w:tcW w:w="562" w:type="dxa"/>
            <w:shd w:val="clear" w:color="auto" w:fill="auto"/>
          </w:tcPr>
          <w:p w14:paraId="5CC8D8FB" w14:textId="77777777" w:rsidR="00A06425" w:rsidRPr="00E1459D" w:rsidRDefault="00A06425" w:rsidP="00A06425">
            <w:pPr>
              <w:spacing w:before="120" w:after="120"/>
              <w:jc w:val="center"/>
              <w:rPr>
                <w:rFonts w:asciiTheme="minorHAnsi" w:hAnsiTheme="minorHAnsi" w:cstheme="minorHAnsi"/>
                <w:sz w:val="22"/>
                <w:szCs w:val="22"/>
              </w:rPr>
            </w:pPr>
            <w:r w:rsidRPr="00E1459D">
              <w:rPr>
                <w:rFonts w:asciiTheme="minorHAnsi" w:hAnsiTheme="minorHAnsi" w:cstheme="minorHAnsi"/>
                <w:sz w:val="22"/>
                <w:szCs w:val="22"/>
              </w:rPr>
              <w:t>2</w:t>
            </w:r>
          </w:p>
        </w:tc>
        <w:tc>
          <w:tcPr>
            <w:tcW w:w="1134" w:type="dxa"/>
            <w:shd w:val="clear" w:color="auto" w:fill="auto"/>
          </w:tcPr>
          <w:p w14:paraId="2038EB6E" w14:textId="4A1797AC" w:rsidR="00A06425" w:rsidRPr="00E1459D" w:rsidRDefault="00E1459D" w:rsidP="004D086F">
            <w:pPr>
              <w:spacing w:before="60" w:after="60"/>
              <w:jc w:val="center"/>
              <w:rPr>
                <w:rFonts w:asciiTheme="minorHAnsi" w:hAnsiTheme="minorHAnsi" w:cstheme="minorHAnsi"/>
                <w:sz w:val="22"/>
                <w:szCs w:val="22"/>
              </w:rPr>
            </w:pPr>
            <w:r w:rsidRPr="00E1459D">
              <w:rPr>
                <w:rFonts w:asciiTheme="minorHAnsi" w:hAnsiTheme="minorHAnsi" w:cstheme="minorHAnsi"/>
                <w:sz w:val="22"/>
                <w:szCs w:val="22"/>
              </w:rPr>
              <w:t>PUODO</w:t>
            </w:r>
          </w:p>
        </w:tc>
        <w:tc>
          <w:tcPr>
            <w:tcW w:w="1843" w:type="dxa"/>
            <w:shd w:val="clear" w:color="auto" w:fill="auto"/>
          </w:tcPr>
          <w:p w14:paraId="42AC910F" w14:textId="021D3538" w:rsidR="00A06425" w:rsidRPr="00E1459D" w:rsidRDefault="00E1459D" w:rsidP="004D086F">
            <w:pPr>
              <w:jc w:val="center"/>
              <w:rPr>
                <w:rFonts w:asciiTheme="minorHAnsi" w:hAnsiTheme="minorHAnsi" w:cstheme="minorHAnsi"/>
                <w:sz w:val="22"/>
                <w:szCs w:val="22"/>
              </w:rPr>
            </w:pPr>
            <w:r w:rsidRPr="00E1459D">
              <w:rPr>
                <w:rFonts w:asciiTheme="minorHAnsi" w:hAnsiTheme="minorHAnsi" w:cstheme="minorHAnsi"/>
                <w:sz w:val="22"/>
                <w:szCs w:val="22"/>
              </w:rPr>
              <w:t>pkt 6, otoczenie prawne</w:t>
            </w:r>
          </w:p>
        </w:tc>
        <w:tc>
          <w:tcPr>
            <w:tcW w:w="4678" w:type="dxa"/>
            <w:shd w:val="clear" w:color="auto" w:fill="auto"/>
          </w:tcPr>
          <w:p w14:paraId="2DDD9B68" w14:textId="0742D9EF" w:rsidR="00E1459D" w:rsidRDefault="00E1459D" w:rsidP="00E1459D">
            <w:pPr>
              <w:spacing w:after="120" w:line="276" w:lineRule="auto"/>
              <w:rPr>
                <w:rFonts w:asciiTheme="minorHAnsi" w:hAnsiTheme="minorHAnsi" w:cstheme="minorHAnsi"/>
                <w:sz w:val="22"/>
                <w:szCs w:val="22"/>
              </w:rPr>
            </w:pPr>
            <w:r w:rsidRPr="00E1459D">
              <w:rPr>
                <w:rFonts w:asciiTheme="minorHAnsi" w:hAnsiTheme="minorHAnsi" w:cstheme="minorHAnsi"/>
                <w:sz w:val="22"/>
                <w:szCs w:val="22"/>
              </w:rPr>
              <w:t xml:space="preserve">Projektodawca nie wskazuje podmiotów odpowiedzialnych za przetwarzanie danych w tym systemie (nie jest jasne, czy administratorem systemu ma być Minister Zdrowia, czy Warszawski Uniwersytet Medyczny), ani zasad i trybu pozyskiwania danych z systemów publicznych (w tym, nie jest jasne jak będą kształtować się zasady współpracy i odpowiedzialności za przetwarzanie danych miedzy podmiotami - podmiotami publicznymi odpowiedzialnymi za przetwarzanie danych w rejestrach publicznych), w szczególności nie jest jasne na jakim etapie będzie następował proces anonimizacji danych szczególnych kategorii. </w:t>
            </w:r>
          </w:p>
          <w:p w14:paraId="2AAF4A64" w14:textId="58F30F97" w:rsidR="00BD6CE0" w:rsidRPr="00E1459D" w:rsidRDefault="00BD6CE0" w:rsidP="00E1459D">
            <w:pPr>
              <w:spacing w:after="120" w:line="276" w:lineRule="auto"/>
              <w:rPr>
                <w:rFonts w:asciiTheme="minorHAnsi" w:hAnsiTheme="minorHAnsi" w:cstheme="minorHAnsi"/>
                <w:sz w:val="22"/>
                <w:szCs w:val="22"/>
              </w:rPr>
            </w:pPr>
            <w:r w:rsidRPr="00BD6CE0">
              <w:rPr>
                <w:rFonts w:asciiTheme="minorHAnsi" w:hAnsiTheme="minorHAnsi" w:cstheme="minorHAnsi"/>
                <w:sz w:val="22"/>
                <w:szCs w:val="22"/>
              </w:rPr>
              <w:lastRenderedPageBreak/>
              <w:t>Projektodawca nie wykazał też, że projekt w sposób właściwy będzie wdrażał postanowienia EHDS, które wprowadzają określone warunki dla przetwarzania danych klinicznych jak również, że projekt zapewnia zgodność z przepisami o badaniach klinicznych</w:t>
            </w:r>
            <w:r w:rsidR="00480EF7">
              <w:rPr>
                <w:rStyle w:val="Odwoanieprzypisudolnego"/>
                <w:rFonts w:asciiTheme="minorHAnsi" w:hAnsiTheme="minorHAnsi" w:cstheme="minorHAnsi"/>
                <w:sz w:val="22"/>
                <w:szCs w:val="22"/>
              </w:rPr>
              <w:footnoteReference w:id="6"/>
            </w:r>
            <w:r w:rsidRPr="00BD6CE0">
              <w:rPr>
                <w:rFonts w:asciiTheme="minorHAnsi" w:hAnsiTheme="minorHAnsi" w:cstheme="minorHAnsi"/>
                <w:sz w:val="22"/>
                <w:szCs w:val="22"/>
              </w:rPr>
              <w:t xml:space="preserve"> .</w:t>
            </w:r>
          </w:p>
          <w:p w14:paraId="299FBA80" w14:textId="77777777" w:rsidR="00E1459D" w:rsidRPr="00E1459D" w:rsidRDefault="00E1459D" w:rsidP="00E1459D">
            <w:pPr>
              <w:spacing w:after="120" w:line="276" w:lineRule="auto"/>
              <w:rPr>
                <w:rFonts w:asciiTheme="minorHAnsi" w:hAnsiTheme="minorHAnsi" w:cstheme="minorHAnsi"/>
                <w:sz w:val="22"/>
                <w:szCs w:val="22"/>
              </w:rPr>
            </w:pPr>
            <w:r w:rsidRPr="00E1459D">
              <w:rPr>
                <w:rFonts w:asciiTheme="minorHAnsi" w:hAnsiTheme="minorHAnsi" w:cstheme="minorHAnsi"/>
                <w:sz w:val="22"/>
                <w:szCs w:val="22"/>
              </w:rPr>
              <w:t>W przypadku przetwarzania danych osobowych przez podmioty publiczne, takie przetwarzanie powinno odbywać się na podstawie przepisów prawa, które w sposób precyzyjny wskazują cele przetwarzania, jakie dane dla ich realizacji będą przetwarzane, przez jaki okres czasu oraz kto będzie za to przetwarzanie odpowiadał. rzetwarzanie danych niezbędne do wypełnienia obowiązku prawnego ciążącego na administratorze lub wykonania zadania realizowanego w interesie publicznym (art. 6 ust. 1 lit. c i e rozporządzenia 2016/679</w:t>
            </w:r>
            <w:r w:rsidRPr="00E1459D">
              <w:rPr>
                <w:rStyle w:val="Odwoanieprzypisudolnego"/>
                <w:rFonts w:asciiTheme="minorHAnsi" w:hAnsiTheme="minorHAnsi" w:cstheme="minorHAnsi"/>
                <w:sz w:val="22"/>
                <w:szCs w:val="22"/>
              </w:rPr>
              <w:footnoteReference w:id="7"/>
            </w:r>
            <w:r w:rsidRPr="00E1459D">
              <w:rPr>
                <w:rFonts w:asciiTheme="minorHAnsi" w:hAnsiTheme="minorHAnsi" w:cstheme="minorHAnsi"/>
                <w:sz w:val="22"/>
                <w:szCs w:val="22"/>
              </w:rPr>
              <w:t xml:space="preserve">) wymaga określenia w prawie państwa członkowskiego, któremu podlega administrator – w tym w regulacji prawnej kształtującej funkcjonowanie przedmiotowego systemu - elementów, o których mowa w art. 5, 6 ust. 3 </w:t>
            </w:r>
            <w:r w:rsidRPr="00E1459D">
              <w:rPr>
                <w:rStyle w:val="Odwoanieprzypisudolnego"/>
                <w:rFonts w:asciiTheme="minorHAnsi" w:hAnsiTheme="minorHAnsi" w:cstheme="minorHAnsi"/>
                <w:sz w:val="22"/>
                <w:szCs w:val="22"/>
              </w:rPr>
              <w:footnoteReference w:id="8"/>
            </w:r>
            <w:r w:rsidRPr="00E1459D">
              <w:rPr>
                <w:rFonts w:asciiTheme="minorHAnsi" w:hAnsiTheme="minorHAnsi" w:cstheme="minorHAnsi"/>
                <w:sz w:val="22"/>
                <w:szCs w:val="22"/>
              </w:rPr>
              <w:t xml:space="preserve">, art. 9, art. 22 rozporządzenia 2016/679. </w:t>
            </w:r>
          </w:p>
          <w:p w14:paraId="6FC2928B" w14:textId="77777777" w:rsidR="00E1459D" w:rsidRPr="00E1459D" w:rsidRDefault="00E1459D" w:rsidP="00E1459D">
            <w:pPr>
              <w:rPr>
                <w:rFonts w:asciiTheme="minorHAnsi" w:hAnsiTheme="minorHAnsi" w:cstheme="minorHAnsi"/>
                <w:sz w:val="22"/>
                <w:szCs w:val="22"/>
              </w:rPr>
            </w:pPr>
            <w:r w:rsidRPr="00E1459D">
              <w:rPr>
                <w:rFonts w:asciiTheme="minorHAnsi" w:hAnsiTheme="minorHAnsi" w:cstheme="minorHAnsi"/>
                <w:sz w:val="22"/>
                <w:szCs w:val="22"/>
              </w:rPr>
              <w:lastRenderedPageBreak/>
              <w:t>Sprawy istotne, które muszą zostać uregulowane w przepisach rangi ustawy, obejmują w szczególności warunki dopuszczalności przetwarzania danych osobowych</w:t>
            </w:r>
            <w:r w:rsidRPr="00E1459D">
              <w:rPr>
                <w:rStyle w:val="Odwoanieprzypisudolnego"/>
                <w:rFonts w:asciiTheme="minorHAnsi" w:hAnsiTheme="minorHAnsi" w:cstheme="minorHAnsi"/>
                <w:sz w:val="22"/>
                <w:szCs w:val="22"/>
              </w:rPr>
              <w:footnoteReference w:id="9"/>
            </w:r>
            <w:r w:rsidRPr="00E1459D">
              <w:rPr>
                <w:rFonts w:asciiTheme="minorHAnsi" w:hAnsiTheme="minorHAnsi" w:cstheme="minorHAnsi"/>
                <w:sz w:val="22"/>
                <w:szCs w:val="22"/>
              </w:rPr>
              <w:t xml:space="preserve"> (standardy konstytucyjne dotyczące prawa do ochrony danych osobowych wynikającego z art. 51 Konstytucji RP).</w:t>
            </w:r>
          </w:p>
          <w:p w14:paraId="7145CBD5" w14:textId="77777777" w:rsidR="00A06425" w:rsidRPr="00E1459D" w:rsidRDefault="00A06425" w:rsidP="004D086F">
            <w:pPr>
              <w:jc w:val="center"/>
              <w:rPr>
                <w:rFonts w:asciiTheme="minorHAnsi" w:hAnsiTheme="minorHAnsi" w:cstheme="minorHAnsi"/>
                <w:sz w:val="22"/>
                <w:szCs w:val="22"/>
              </w:rPr>
            </w:pPr>
          </w:p>
        </w:tc>
        <w:tc>
          <w:tcPr>
            <w:tcW w:w="5812" w:type="dxa"/>
            <w:shd w:val="clear" w:color="auto" w:fill="auto"/>
          </w:tcPr>
          <w:p w14:paraId="5F458F20" w14:textId="27171904" w:rsidR="00480EF7" w:rsidRPr="00E1459D" w:rsidRDefault="00E1459D" w:rsidP="00480EF7">
            <w:pPr>
              <w:rPr>
                <w:rFonts w:asciiTheme="minorHAnsi" w:hAnsiTheme="minorHAnsi" w:cstheme="minorHAnsi"/>
                <w:sz w:val="22"/>
                <w:szCs w:val="22"/>
              </w:rPr>
            </w:pPr>
            <w:r w:rsidRPr="00E1459D">
              <w:rPr>
                <w:rFonts w:asciiTheme="minorHAnsi" w:hAnsiTheme="minorHAnsi" w:cstheme="minorHAnsi"/>
                <w:sz w:val="22"/>
                <w:szCs w:val="22"/>
              </w:rPr>
              <w:lastRenderedPageBreak/>
              <w:t>Należy dokonać przeglądu regulacji prawnych i dokonać stosownych zmian w zakresie podstawy prawnej dot.  zasad i trybu pozyskiwania danych z systemów publicznych, podmiotów odpowiedzialnych za przetwarzanie danych w tym systemie</w:t>
            </w:r>
            <w:r w:rsidR="00BD6CE0">
              <w:rPr>
                <w:rFonts w:asciiTheme="minorHAnsi" w:hAnsiTheme="minorHAnsi" w:cstheme="minorHAnsi"/>
                <w:sz w:val="22"/>
                <w:szCs w:val="22"/>
              </w:rPr>
              <w:t xml:space="preserve">. Konieczne jest wykazanie zgodności zarówno z przepisami rozporządzenia 2016/679, EHDS, jak i </w:t>
            </w:r>
            <w:bookmarkStart w:id="0" w:name="_Hlk230687030"/>
            <w:r w:rsidR="00480EF7">
              <w:rPr>
                <w:rFonts w:asciiTheme="minorHAnsi" w:hAnsiTheme="minorHAnsi" w:cstheme="minorHAnsi"/>
                <w:sz w:val="22"/>
                <w:szCs w:val="22"/>
              </w:rPr>
              <w:t>przepisów w sprawie badań klinicznych</w:t>
            </w:r>
            <w:bookmarkEnd w:id="0"/>
            <w:r w:rsidR="00480EF7">
              <w:rPr>
                <w:rFonts w:asciiTheme="minorHAnsi" w:hAnsiTheme="minorHAnsi" w:cstheme="minorHAnsi"/>
                <w:sz w:val="22"/>
                <w:szCs w:val="22"/>
              </w:rPr>
              <w:t>.</w:t>
            </w:r>
          </w:p>
          <w:p w14:paraId="1DA98CFD" w14:textId="0DE45395" w:rsidR="00A06425" w:rsidRPr="00E1459D" w:rsidRDefault="00A06425" w:rsidP="00BD6CE0">
            <w:pPr>
              <w:rPr>
                <w:rFonts w:asciiTheme="minorHAnsi" w:hAnsiTheme="minorHAnsi" w:cstheme="minorHAnsi"/>
                <w:sz w:val="22"/>
                <w:szCs w:val="22"/>
              </w:rPr>
            </w:pPr>
          </w:p>
        </w:tc>
        <w:tc>
          <w:tcPr>
            <w:tcW w:w="1359" w:type="dxa"/>
          </w:tcPr>
          <w:p w14:paraId="0C927AE3" w14:textId="77777777" w:rsidR="00A06425" w:rsidRPr="00E1459D" w:rsidRDefault="00A06425" w:rsidP="004D086F">
            <w:pPr>
              <w:jc w:val="center"/>
              <w:rPr>
                <w:rFonts w:asciiTheme="minorHAnsi" w:hAnsiTheme="minorHAnsi" w:cstheme="minorHAnsi"/>
                <w:sz w:val="22"/>
                <w:szCs w:val="22"/>
              </w:rPr>
            </w:pPr>
          </w:p>
        </w:tc>
      </w:tr>
      <w:tr w:rsidR="00A06425" w:rsidRPr="00E1459D" w14:paraId="75D451E2" w14:textId="77777777" w:rsidTr="00A06425">
        <w:tc>
          <w:tcPr>
            <w:tcW w:w="562" w:type="dxa"/>
            <w:shd w:val="clear" w:color="auto" w:fill="auto"/>
          </w:tcPr>
          <w:p w14:paraId="75D1386A" w14:textId="77777777" w:rsidR="00A06425" w:rsidRPr="00E1459D" w:rsidRDefault="00A06425" w:rsidP="00A06425">
            <w:pPr>
              <w:spacing w:before="120" w:after="120"/>
              <w:jc w:val="center"/>
              <w:rPr>
                <w:rFonts w:asciiTheme="minorHAnsi" w:hAnsiTheme="minorHAnsi" w:cstheme="minorHAnsi"/>
                <w:sz w:val="22"/>
                <w:szCs w:val="22"/>
              </w:rPr>
            </w:pPr>
            <w:r w:rsidRPr="00E1459D">
              <w:rPr>
                <w:rFonts w:asciiTheme="minorHAnsi" w:hAnsiTheme="minorHAnsi" w:cstheme="minorHAnsi"/>
                <w:sz w:val="22"/>
                <w:szCs w:val="22"/>
              </w:rPr>
              <w:lastRenderedPageBreak/>
              <w:t>3</w:t>
            </w:r>
          </w:p>
        </w:tc>
        <w:tc>
          <w:tcPr>
            <w:tcW w:w="1134" w:type="dxa"/>
            <w:shd w:val="clear" w:color="auto" w:fill="auto"/>
          </w:tcPr>
          <w:p w14:paraId="766E3696" w14:textId="77777777" w:rsidR="00A06425" w:rsidRPr="00E1459D" w:rsidRDefault="00A06425" w:rsidP="004D086F">
            <w:pPr>
              <w:spacing w:before="60" w:after="60"/>
              <w:jc w:val="center"/>
              <w:rPr>
                <w:rFonts w:asciiTheme="minorHAnsi" w:hAnsiTheme="minorHAnsi" w:cstheme="minorHAnsi"/>
                <w:sz w:val="22"/>
                <w:szCs w:val="22"/>
              </w:rPr>
            </w:pPr>
          </w:p>
        </w:tc>
        <w:tc>
          <w:tcPr>
            <w:tcW w:w="1843" w:type="dxa"/>
            <w:shd w:val="clear" w:color="auto" w:fill="auto"/>
          </w:tcPr>
          <w:p w14:paraId="7D3110E6" w14:textId="3AA8DB46" w:rsidR="00A06425" w:rsidRPr="00E1459D" w:rsidRDefault="00E1459D" w:rsidP="004D086F">
            <w:pPr>
              <w:jc w:val="center"/>
              <w:rPr>
                <w:rFonts w:asciiTheme="minorHAnsi" w:hAnsiTheme="minorHAnsi" w:cstheme="minorHAnsi"/>
                <w:sz w:val="22"/>
                <w:szCs w:val="22"/>
              </w:rPr>
            </w:pPr>
            <w:r>
              <w:rPr>
                <w:rFonts w:asciiTheme="minorHAnsi" w:hAnsiTheme="minorHAnsi" w:cstheme="minorHAnsi"/>
                <w:sz w:val="22"/>
                <w:szCs w:val="22"/>
              </w:rPr>
              <w:t>Pkt 2.3</w:t>
            </w:r>
          </w:p>
        </w:tc>
        <w:tc>
          <w:tcPr>
            <w:tcW w:w="4678" w:type="dxa"/>
            <w:shd w:val="clear" w:color="auto" w:fill="auto"/>
          </w:tcPr>
          <w:p w14:paraId="11517066" w14:textId="74387DFA" w:rsidR="00E1459D" w:rsidRPr="00E1459D" w:rsidRDefault="00E1459D" w:rsidP="00E1459D">
            <w:pPr>
              <w:rPr>
                <w:rFonts w:asciiTheme="minorHAnsi" w:hAnsiTheme="minorHAnsi" w:cstheme="minorHAnsi"/>
                <w:sz w:val="22"/>
                <w:szCs w:val="22"/>
              </w:rPr>
            </w:pPr>
            <w:r w:rsidRPr="00E1459D">
              <w:rPr>
                <w:rFonts w:asciiTheme="minorHAnsi" w:hAnsiTheme="minorHAnsi" w:cstheme="minorHAnsi"/>
                <w:sz w:val="22"/>
                <w:szCs w:val="22"/>
              </w:rPr>
              <w:t xml:space="preserve">Kolejnym istotnym zagadnieniem jest to,  czy zaproponowany sposób przetwarzania danych w systemie będzie wiązał się z łączeniem zbiorów danych, które z punktu widzenia przepisów rozporządzenia 2016/679 jest niedozwolone  . W poszczególnych rejestrach publicznych można bowiem przetwarzać tylko te dane, które są unikalne w ramach wszystkich rejestrów prowadzonych przez administrację publiczną, a przede wszystkim zgodnie z celami utworzenia rejestru i celami przetwarzania danych. Dane, które już są przetwarzane w innym rejestrze, powinny być pobierane w chwili wystąpienia takiej potrzeby z istniejących rejestrów referencyjnych. Należy bowiem unikać gromadzenia danych, które już są przechowywane w innym rejestrze. </w:t>
            </w:r>
          </w:p>
          <w:p w14:paraId="5E6243DC" w14:textId="7C51C58E" w:rsidR="00A06425" w:rsidRPr="00E1459D" w:rsidRDefault="00E1459D" w:rsidP="00E1459D">
            <w:pPr>
              <w:rPr>
                <w:rFonts w:asciiTheme="minorHAnsi" w:hAnsiTheme="minorHAnsi" w:cstheme="minorHAnsi"/>
                <w:sz w:val="22"/>
                <w:szCs w:val="22"/>
              </w:rPr>
            </w:pPr>
            <w:r w:rsidRPr="00E1459D">
              <w:rPr>
                <w:rFonts w:asciiTheme="minorHAnsi" w:hAnsiTheme="minorHAnsi" w:cstheme="minorHAnsi"/>
                <w:sz w:val="22"/>
                <w:szCs w:val="22"/>
              </w:rPr>
              <w:t>Niedopuszczalny jest więc taki sposób przetwarzania danych osobowych w ramach systemu informatycznego, który prowadziłby do połączenia różnych zbiorów danych (różnych administratorów), a dodatkowo funkcjonował bez ww. podstawy prawnej ze wskazanymi wymaganymi jej elementami.</w:t>
            </w:r>
          </w:p>
        </w:tc>
        <w:tc>
          <w:tcPr>
            <w:tcW w:w="5812" w:type="dxa"/>
            <w:shd w:val="clear" w:color="auto" w:fill="auto"/>
          </w:tcPr>
          <w:p w14:paraId="7AD235F2" w14:textId="77777777" w:rsidR="00A06425" w:rsidRPr="00E1459D" w:rsidRDefault="00A06425" w:rsidP="004D086F">
            <w:pPr>
              <w:jc w:val="center"/>
              <w:rPr>
                <w:rFonts w:asciiTheme="minorHAnsi" w:hAnsiTheme="minorHAnsi" w:cstheme="minorHAnsi"/>
                <w:sz w:val="22"/>
                <w:szCs w:val="22"/>
              </w:rPr>
            </w:pPr>
          </w:p>
        </w:tc>
        <w:tc>
          <w:tcPr>
            <w:tcW w:w="1359" w:type="dxa"/>
          </w:tcPr>
          <w:p w14:paraId="6D6C7BBF" w14:textId="77777777" w:rsidR="00A06425" w:rsidRPr="00E1459D" w:rsidRDefault="00A06425" w:rsidP="004D086F">
            <w:pPr>
              <w:jc w:val="center"/>
              <w:rPr>
                <w:rFonts w:asciiTheme="minorHAnsi" w:hAnsiTheme="minorHAnsi" w:cstheme="minorHAnsi"/>
                <w:sz w:val="22"/>
                <w:szCs w:val="22"/>
              </w:rPr>
            </w:pPr>
          </w:p>
        </w:tc>
      </w:tr>
      <w:tr w:rsidR="00A06425" w:rsidRPr="00E1459D" w14:paraId="33E8CBD7" w14:textId="77777777" w:rsidTr="00A06425">
        <w:tc>
          <w:tcPr>
            <w:tcW w:w="562" w:type="dxa"/>
            <w:shd w:val="clear" w:color="auto" w:fill="auto"/>
          </w:tcPr>
          <w:p w14:paraId="6D5642E9" w14:textId="77777777" w:rsidR="00A06425" w:rsidRPr="00E1459D" w:rsidRDefault="00A06425" w:rsidP="00A06425">
            <w:pPr>
              <w:spacing w:before="120" w:after="120"/>
              <w:jc w:val="center"/>
              <w:rPr>
                <w:rFonts w:asciiTheme="minorHAnsi" w:hAnsiTheme="minorHAnsi" w:cstheme="minorHAnsi"/>
                <w:sz w:val="22"/>
                <w:szCs w:val="22"/>
              </w:rPr>
            </w:pPr>
            <w:r w:rsidRPr="00E1459D">
              <w:rPr>
                <w:rFonts w:asciiTheme="minorHAnsi" w:hAnsiTheme="minorHAnsi" w:cstheme="minorHAnsi"/>
                <w:sz w:val="22"/>
                <w:szCs w:val="22"/>
              </w:rPr>
              <w:t>4</w:t>
            </w:r>
          </w:p>
        </w:tc>
        <w:tc>
          <w:tcPr>
            <w:tcW w:w="1134" w:type="dxa"/>
            <w:shd w:val="clear" w:color="auto" w:fill="auto"/>
          </w:tcPr>
          <w:p w14:paraId="2151CF92" w14:textId="77777777" w:rsidR="00A06425" w:rsidRPr="00E1459D" w:rsidRDefault="00A06425" w:rsidP="004D086F">
            <w:pPr>
              <w:spacing w:before="60" w:after="60"/>
              <w:jc w:val="center"/>
              <w:rPr>
                <w:rFonts w:asciiTheme="minorHAnsi" w:hAnsiTheme="minorHAnsi" w:cstheme="minorHAnsi"/>
                <w:sz w:val="22"/>
                <w:szCs w:val="22"/>
              </w:rPr>
            </w:pPr>
          </w:p>
        </w:tc>
        <w:tc>
          <w:tcPr>
            <w:tcW w:w="1843" w:type="dxa"/>
            <w:shd w:val="clear" w:color="auto" w:fill="auto"/>
          </w:tcPr>
          <w:p w14:paraId="5A94CF4E" w14:textId="186FA81A" w:rsidR="00A06425" w:rsidRPr="00E1459D" w:rsidRDefault="00E1459D" w:rsidP="004D086F">
            <w:pPr>
              <w:jc w:val="center"/>
              <w:rPr>
                <w:rFonts w:asciiTheme="minorHAnsi" w:hAnsiTheme="minorHAnsi" w:cstheme="minorHAnsi"/>
                <w:sz w:val="22"/>
                <w:szCs w:val="22"/>
              </w:rPr>
            </w:pPr>
            <w:r w:rsidRPr="00E1459D">
              <w:rPr>
                <w:rFonts w:asciiTheme="minorHAnsi" w:hAnsiTheme="minorHAnsi" w:cstheme="minorHAnsi"/>
                <w:sz w:val="22"/>
                <w:szCs w:val="22"/>
              </w:rPr>
              <w:t>p</w:t>
            </w:r>
            <w:r>
              <w:rPr>
                <w:rFonts w:asciiTheme="minorHAnsi" w:hAnsiTheme="minorHAnsi" w:cstheme="minorHAnsi"/>
                <w:sz w:val="22"/>
                <w:szCs w:val="22"/>
              </w:rPr>
              <w:t>kt</w:t>
            </w:r>
            <w:r w:rsidRPr="00E1459D">
              <w:rPr>
                <w:rFonts w:asciiTheme="minorHAnsi" w:hAnsiTheme="minorHAnsi" w:cstheme="minorHAnsi"/>
                <w:sz w:val="22"/>
                <w:szCs w:val="22"/>
              </w:rPr>
              <w:t xml:space="preserve"> 2.4, pkt 3 opisu założeń</w:t>
            </w:r>
          </w:p>
        </w:tc>
        <w:tc>
          <w:tcPr>
            <w:tcW w:w="4678" w:type="dxa"/>
            <w:shd w:val="clear" w:color="auto" w:fill="auto"/>
          </w:tcPr>
          <w:p w14:paraId="014DAA0B" w14:textId="4261BC30" w:rsidR="00E1459D" w:rsidRPr="00E1459D" w:rsidRDefault="00E1459D" w:rsidP="00E1459D">
            <w:pPr>
              <w:tabs>
                <w:tab w:val="left" w:pos="420"/>
              </w:tabs>
              <w:rPr>
                <w:rFonts w:asciiTheme="minorHAnsi" w:hAnsiTheme="minorHAnsi" w:cstheme="minorHAnsi"/>
                <w:sz w:val="22"/>
                <w:szCs w:val="22"/>
              </w:rPr>
            </w:pPr>
            <w:r w:rsidRPr="00E1459D">
              <w:rPr>
                <w:rFonts w:asciiTheme="minorHAnsi" w:hAnsiTheme="minorHAnsi" w:cstheme="minorHAnsi"/>
                <w:sz w:val="22"/>
                <w:szCs w:val="22"/>
              </w:rPr>
              <w:t xml:space="preserve">Z uwagi na potencjalne przetwarzanie danych osobowych, w tym szczególnej kategorii, na dużą skalę w projektowanym systemie, z użyciem </w:t>
            </w:r>
            <w:r w:rsidRPr="00E1459D">
              <w:rPr>
                <w:rFonts w:asciiTheme="minorHAnsi" w:hAnsiTheme="minorHAnsi" w:cstheme="minorHAnsi"/>
                <w:sz w:val="22"/>
                <w:szCs w:val="22"/>
              </w:rPr>
              <w:lastRenderedPageBreak/>
              <w:t xml:space="preserve">nowych technologii w ocenie organu nadzorczego, wskazane jest także przeprowadzenie testu prywatności, w tym oceny skutków dla ochrony danych (art. 25 ust. 1  oraz 35 ust. 1  rozporządzenia 2016/679), które służą ocenie ryzyka naruszenia praw lub wolności podmiotów danych. Przeprowadzenie testu pozwoli na szczegółowe rozeznanie ryzyk towarzyszących przetwarzaniu dla praw i wolności podmiotów danych oraz na wprowadzenie gwarancji te ryzyka eliminujące. </w:t>
            </w:r>
          </w:p>
          <w:p w14:paraId="1B812118" w14:textId="77777777" w:rsidR="00E1459D" w:rsidRPr="00E1459D" w:rsidRDefault="00E1459D" w:rsidP="00E1459D">
            <w:pPr>
              <w:tabs>
                <w:tab w:val="left" w:pos="420"/>
              </w:tabs>
              <w:rPr>
                <w:rFonts w:asciiTheme="minorHAnsi" w:hAnsiTheme="minorHAnsi" w:cstheme="minorHAnsi"/>
                <w:sz w:val="22"/>
                <w:szCs w:val="22"/>
              </w:rPr>
            </w:pPr>
            <w:r w:rsidRPr="00E1459D">
              <w:rPr>
                <w:rFonts w:asciiTheme="minorHAnsi" w:hAnsiTheme="minorHAnsi" w:cstheme="minorHAnsi"/>
                <w:sz w:val="22"/>
                <w:szCs w:val="22"/>
              </w:rPr>
              <w:t xml:space="preserve">Opis założeń odnosi się co prawda do ww. testu prywatności, a także analizy w zakresie zastosowania sztucznej inteligencji zgodnie z opinią Europejskiej Rady Ochrony Danych 28/2024 z 17 grudnia 2024 r.) w zakresie punktu 2.4, pkt 3 opisu założeń (produkty końcowe projektu, kamienie milowe) ,  jednakże nie zwalnia to projektodawcy, już na początkowym etapie przygotowywania założeń projektu, od oceny ryzyk zgodnie z przepisami rozporządzenia 2016/679. </w:t>
            </w:r>
          </w:p>
          <w:p w14:paraId="19E1D72D" w14:textId="43DF58EE" w:rsidR="00A06425" w:rsidRPr="00E1459D" w:rsidRDefault="00E1459D" w:rsidP="00E1459D">
            <w:pPr>
              <w:tabs>
                <w:tab w:val="left" w:pos="420"/>
              </w:tabs>
              <w:rPr>
                <w:rFonts w:asciiTheme="minorHAnsi" w:hAnsiTheme="minorHAnsi" w:cstheme="minorHAnsi"/>
                <w:sz w:val="22"/>
                <w:szCs w:val="22"/>
              </w:rPr>
            </w:pPr>
            <w:r w:rsidRPr="00E1459D">
              <w:rPr>
                <w:rFonts w:asciiTheme="minorHAnsi" w:hAnsiTheme="minorHAnsi" w:cstheme="minorHAnsi"/>
                <w:sz w:val="22"/>
                <w:szCs w:val="22"/>
              </w:rPr>
              <w:t xml:space="preserve">Oceniając natomiast ryzyka związane z przetwarzaniem danych osobowych – np. wyciek PHI (Protected Health Information – chronione informacje zdrowotne) przez błąd anonimizacji; pkt. 5.1 projektu – aktualnie projektodawca określa je jako niskie, co ze względu na cele i sposoby przetwarzania, szeroki zakres i charakter przetwarzanych w tym systemie danych, budzi istotne wątpliwości z punktu widzenia skutków dla ochrony danych. Ponadto, już na obecnym etapie projektodawca zobowiązany jest do przeprowadzenia analizy obowiązujących przepisów prawa w ramach przeprowadzonego testu prywatności (otoczenie prawne). Przegląd regulacji pozwoli zaś na określenie podstawy prawnej przetwarzania, w tym trybu </w:t>
            </w:r>
            <w:r w:rsidRPr="00E1459D">
              <w:rPr>
                <w:rFonts w:asciiTheme="minorHAnsi" w:hAnsiTheme="minorHAnsi" w:cstheme="minorHAnsi"/>
                <w:sz w:val="22"/>
                <w:szCs w:val="22"/>
              </w:rPr>
              <w:lastRenderedPageBreak/>
              <w:t>pozyskiwania danych z rejestrów publicznych, gromadzenia i dalszego ewentualnego udostępniania. Należy przy tym zwrócić uwagę, że niepoprawnie projektodawca wskazuje z pkt 6 założeń projektu zapis, „czy zmian wymaga rozporządzenie 2016/679”. W tym zakresie należy usunąć wskazywanie w tabeli (pkt 6 tabeli) odniesienie się do rozporządzenia 2016/679, które – wbrew aktualnemu brzmieniu - powinno być wskazywane jako wyznacznik prawidłowego ukształtowania przepisów krajowych.</w:t>
            </w:r>
          </w:p>
        </w:tc>
        <w:tc>
          <w:tcPr>
            <w:tcW w:w="5812" w:type="dxa"/>
            <w:shd w:val="clear" w:color="auto" w:fill="auto"/>
          </w:tcPr>
          <w:p w14:paraId="0808AC26" w14:textId="77777777" w:rsidR="00A06425" w:rsidRPr="00E1459D" w:rsidRDefault="00A06425" w:rsidP="004D086F">
            <w:pPr>
              <w:jc w:val="center"/>
              <w:rPr>
                <w:rFonts w:asciiTheme="minorHAnsi" w:hAnsiTheme="minorHAnsi" w:cstheme="minorHAnsi"/>
                <w:sz w:val="22"/>
                <w:szCs w:val="22"/>
              </w:rPr>
            </w:pPr>
          </w:p>
        </w:tc>
        <w:tc>
          <w:tcPr>
            <w:tcW w:w="1359" w:type="dxa"/>
          </w:tcPr>
          <w:p w14:paraId="4FC0D644" w14:textId="77777777" w:rsidR="00A06425" w:rsidRPr="00E1459D" w:rsidRDefault="00A06425" w:rsidP="004D086F">
            <w:pPr>
              <w:jc w:val="center"/>
              <w:rPr>
                <w:rFonts w:asciiTheme="minorHAnsi" w:hAnsiTheme="minorHAnsi" w:cstheme="minorHAnsi"/>
                <w:sz w:val="22"/>
                <w:szCs w:val="22"/>
              </w:rPr>
            </w:pPr>
          </w:p>
        </w:tc>
      </w:tr>
      <w:tr w:rsidR="00A06425" w:rsidRPr="00E1459D" w14:paraId="611D3E6C" w14:textId="77777777" w:rsidTr="00A06425">
        <w:tc>
          <w:tcPr>
            <w:tcW w:w="562" w:type="dxa"/>
            <w:shd w:val="clear" w:color="auto" w:fill="auto"/>
          </w:tcPr>
          <w:p w14:paraId="04E0C87B" w14:textId="77777777" w:rsidR="00A06425" w:rsidRPr="00E1459D" w:rsidRDefault="00A06425" w:rsidP="00A06425">
            <w:pPr>
              <w:spacing w:before="120" w:after="120"/>
              <w:jc w:val="center"/>
              <w:rPr>
                <w:rFonts w:asciiTheme="minorHAnsi" w:hAnsiTheme="minorHAnsi" w:cstheme="minorHAnsi"/>
                <w:sz w:val="22"/>
                <w:szCs w:val="22"/>
              </w:rPr>
            </w:pPr>
            <w:r w:rsidRPr="00E1459D">
              <w:rPr>
                <w:rFonts w:asciiTheme="minorHAnsi" w:hAnsiTheme="minorHAnsi" w:cstheme="minorHAnsi"/>
                <w:sz w:val="22"/>
                <w:szCs w:val="22"/>
              </w:rPr>
              <w:lastRenderedPageBreak/>
              <w:t>5</w:t>
            </w:r>
          </w:p>
        </w:tc>
        <w:tc>
          <w:tcPr>
            <w:tcW w:w="1134" w:type="dxa"/>
            <w:shd w:val="clear" w:color="auto" w:fill="auto"/>
          </w:tcPr>
          <w:p w14:paraId="3E77D433" w14:textId="77777777" w:rsidR="00A06425" w:rsidRPr="00E1459D" w:rsidRDefault="00A06425" w:rsidP="004D086F">
            <w:pPr>
              <w:spacing w:before="60" w:after="60"/>
              <w:jc w:val="center"/>
              <w:rPr>
                <w:rFonts w:asciiTheme="minorHAnsi" w:hAnsiTheme="minorHAnsi" w:cstheme="minorHAnsi"/>
                <w:sz w:val="22"/>
                <w:szCs w:val="22"/>
              </w:rPr>
            </w:pPr>
          </w:p>
        </w:tc>
        <w:tc>
          <w:tcPr>
            <w:tcW w:w="1843" w:type="dxa"/>
            <w:shd w:val="clear" w:color="auto" w:fill="auto"/>
          </w:tcPr>
          <w:p w14:paraId="1614873D" w14:textId="77777777" w:rsidR="00A06425" w:rsidRPr="00E1459D" w:rsidRDefault="00A06425" w:rsidP="004D086F">
            <w:pPr>
              <w:jc w:val="center"/>
              <w:rPr>
                <w:rFonts w:asciiTheme="minorHAnsi" w:hAnsiTheme="minorHAnsi" w:cstheme="minorHAnsi"/>
                <w:sz w:val="22"/>
                <w:szCs w:val="22"/>
              </w:rPr>
            </w:pPr>
          </w:p>
        </w:tc>
        <w:tc>
          <w:tcPr>
            <w:tcW w:w="4678" w:type="dxa"/>
            <w:shd w:val="clear" w:color="auto" w:fill="auto"/>
          </w:tcPr>
          <w:p w14:paraId="2C94F96A" w14:textId="77777777" w:rsidR="00A06425" w:rsidRPr="00E1459D" w:rsidRDefault="00A06425" w:rsidP="004D086F">
            <w:pPr>
              <w:jc w:val="center"/>
              <w:rPr>
                <w:rFonts w:asciiTheme="minorHAnsi" w:hAnsiTheme="minorHAnsi" w:cstheme="minorHAnsi"/>
                <w:sz w:val="22"/>
                <w:szCs w:val="22"/>
              </w:rPr>
            </w:pPr>
          </w:p>
        </w:tc>
        <w:tc>
          <w:tcPr>
            <w:tcW w:w="5812" w:type="dxa"/>
            <w:shd w:val="clear" w:color="auto" w:fill="auto"/>
          </w:tcPr>
          <w:p w14:paraId="6A313192" w14:textId="77777777" w:rsidR="00A06425" w:rsidRPr="00E1459D" w:rsidRDefault="00A06425" w:rsidP="004D086F">
            <w:pPr>
              <w:jc w:val="center"/>
              <w:rPr>
                <w:rFonts w:asciiTheme="minorHAnsi" w:hAnsiTheme="minorHAnsi" w:cstheme="minorHAnsi"/>
                <w:sz w:val="22"/>
                <w:szCs w:val="22"/>
              </w:rPr>
            </w:pPr>
          </w:p>
        </w:tc>
        <w:tc>
          <w:tcPr>
            <w:tcW w:w="1359" w:type="dxa"/>
          </w:tcPr>
          <w:p w14:paraId="7C47949D" w14:textId="77777777" w:rsidR="00A06425" w:rsidRPr="00E1459D" w:rsidRDefault="00A06425" w:rsidP="004D086F">
            <w:pPr>
              <w:jc w:val="center"/>
              <w:rPr>
                <w:rFonts w:asciiTheme="minorHAnsi" w:hAnsiTheme="minorHAnsi" w:cstheme="minorHAnsi"/>
                <w:sz w:val="22"/>
                <w:szCs w:val="22"/>
              </w:rPr>
            </w:pPr>
          </w:p>
        </w:tc>
      </w:tr>
    </w:tbl>
    <w:p w14:paraId="39F0AAF3" w14:textId="77777777" w:rsidR="00C64B1B" w:rsidRPr="00E1459D" w:rsidRDefault="00C64B1B" w:rsidP="00C64B1B">
      <w:pPr>
        <w:jc w:val="center"/>
        <w:rPr>
          <w:rFonts w:asciiTheme="minorHAnsi" w:hAnsiTheme="minorHAnsi" w:cstheme="minorHAnsi"/>
          <w:sz w:val="22"/>
          <w:szCs w:val="22"/>
        </w:rPr>
      </w:pPr>
    </w:p>
    <w:sectPr w:rsidR="00C64B1B" w:rsidRPr="00E1459D" w:rsidSect="00A0642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C20A5" w14:textId="77777777" w:rsidR="00F11748" w:rsidRDefault="00F11748" w:rsidP="00E1459D">
      <w:r>
        <w:separator/>
      </w:r>
    </w:p>
  </w:endnote>
  <w:endnote w:type="continuationSeparator" w:id="0">
    <w:p w14:paraId="09EE306E" w14:textId="77777777" w:rsidR="00F11748" w:rsidRDefault="00F11748" w:rsidP="00E1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F366B" w14:textId="77777777" w:rsidR="00F11748" w:rsidRDefault="00F11748" w:rsidP="00E1459D">
      <w:r>
        <w:separator/>
      </w:r>
    </w:p>
  </w:footnote>
  <w:footnote w:type="continuationSeparator" w:id="0">
    <w:p w14:paraId="48E20E04" w14:textId="77777777" w:rsidR="00F11748" w:rsidRDefault="00F11748" w:rsidP="00E1459D">
      <w:r>
        <w:continuationSeparator/>
      </w:r>
    </w:p>
  </w:footnote>
  <w:footnote w:id="1">
    <w:p w14:paraId="41C82B45" w14:textId="77777777" w:rsidR="00E1459D" w:rsidRPr="008C24B7" w:rsidRDefault="00E1459D" w:rsidP="00E1459D">
      <w:pPr>
        <w:pStyle w:val="Tekstprzypisudolnego"/>
        <w:rPr>
          <w:rFonts w:asciiTheme="minorHAnsi" w:hAnsiTheme="minorHAnsi"/>
        </w:rPr>
      </w:pPr>
      <w:r w:rsidRPr="008C24B7">
        <w:rPr>
          <w:rStyle w:val="Odwoanieprzypisudolnego"/>
          <w:rFonts w:asciiTheme="minorHAnsi" w:hAnsiTheme="minorHAnsi"/>
        </w:rPr>
        <w:footnoteRef/>
      </w:r>
      <w:r w:rsidRPr="008C24B7">
        <w:rPr>
          <w:rFonts w:asciiTheme="minorHAnsi" w:hAnsiTheme="minorHAnsi"/>
        </w:rPr>
        <w:t xml:space="preserve"> Zob. wystąpienie</w:t>
      </w:r>
      <w:r w:rsidRPr="008C24B7">
        <w:rPr>
          <w:rFonts w:asciiTheme="minorHAnsi" w:eastAsiaTheme="minorHAnsi" w:hAnsiTheme="minorHAnsi" w:cs="ArialMT"/>
          <w:lang w:eastAsia="en-US"/>
        </w:rPr>
        <w:t xml:space="preserve"> Prezesa UODO dostępne na stronie internetowej: </w:t>
      </w:r>
      <w:hyperlink r:id="rId1" w:history="1">
        <w:r w:rsidRPr="008C24B7">
          <w:rPr>
            <w:rStyle w:val="Hipercze"/>
            <w:rFonts w:asciiTheme="minorHAnsi" w:eastAsiaTheme="minorHAnsi" w:hAnsiTheme="minorHAnsi" w:cs="ArialMT"/>
            <w:lang w:eastAsia="en-US"/>
          </w:rPr>
          <w:t>https://uodo.gov.pl/pl/138/3880</w:t>
        </w:r>
      </w:hyperlink>
      <w:r w:rsidRPr="008C24B7">
        <w:rPr>
          <w:rFonts w:asciiTheme="minorHAnsi" w:eastAsiaTheme="minorHAnsi" w:hAnsiTheme="minorHAnsi" w:cs="ArialMT"/>
          <w:lang w:eastAsia="en-US"/>
        </w:rPr>
        <w:t xml:space="preserve"> </w:t>
      </w:r>
    </w:p>
  </w:footnote>
  <w:footnote w:id="2">
    <w:p w14:paraId="3730D886" w14:textId="77777777" w:rsidR="00E1459D" w:rsidRPr="008C24B7" w:rsidRDefault="00E1459D" w:rsidP="00E1459D">
      <w:pPr>
        <w:autoSpaceDE w:val="0"/>
        <w:autoSpaceDN w:val="0"/>
        <w:adjustRightInd w:val="0"/>
        <w:rPr>
          <w:rFonts w:asciiTheme="minorHAnsi" w:hAnsiTheme="minorHAnsi"/>
          <w:sz w:val="20"/>
          <w:szCs w:val="20"/>
        </w:rPr>
      </w:pPr>
      <w:r w:rsidRPr="008C24B7">
        <w:rPr>
          <w:rStyle w:val="Odwoanieprzypisudolnego"/>
          <w:rFonts w:asciiTheme="minorHAnsi" w:hAnsiTheme="minorHAnsi"/>
          <w:sz w:val="20"/>
          <w:szCs w:val="20"/>
        </w:rPr>
        <w:footnoteRef/>
      </w:r>
      <w:r w:rsidRPr="008C24B7">
        <w:rPr>
          <w:rFonts w:asciiTheme="minorHAnsi" w:hAnsiTheme="minorHAnsi"/>
          <w:sz w:val="20"/>
          <w:szCs w:val="20"/>
        </w:rPr>
        <w:t xml:space="preserve"> </w:t>
      </w:r>
      <w:r w:rsidRPr="008C24B7">
        <w:rPr>
          <w:rFonts w:asciiTheme="minorHAnsi" w:hAnsiTheme="minorHAnsi" w:cs="ArialMT"/>
          <w:color w:val="000000"/>
          <w:sz w:val="20"/>
          <w:szCs w:val="20"/>
        </w:rPr>
        <w:t>Ustawa z dnia 6 listopada 2008 r. o prawach pacjenta i Rzeczniku Praw Pacjenta (Dz. U. z 2024 r. poz. 581)</w:t>
      </w:r>
    </w:p>
  </w:footnote>
  <w:footnote w:id="3">
    <w:p w14:paraId="67EF5A14" w14:textId="77777777" w:rsidR="00E1459D" w:rsidRPr="008C24B7" w:rsidRDefault="00E1459D" w:rsidP="00E1459D">
      <w:pPr>
        <w:pStyle w:val="Tekstprzypisudolnego"/>
        <w:rPr>
          <w:rFonts w:asciiTheme="minorHAnsi" w:hAnsiTheme="minorHAnsi"/>
        </w:rPr>
      </w:pPr>
      <w:r w:rsidRPr="008C24B7">
        <w:rPr>
          <w:rStyle w:val="Odwoanieprzypisudolnego"/>
          <w:rFonts w:asciiTheme="minorHAnsi" w:hAnsiTheme="minorHAnsi"/>
        </w:rPr>
        <w:footnoteRef/>
      </w:r>
      <w:r w:rsidRPr="008C24B7">
        <w:rPr>
          <w:rFonts w:asciiTheme="minorHAnsi" w:hAnsiTheme="minorHAnsi"/>
        </w:rPr>
        <w:t xml:space="preserve"> Ustawa z dnia 20 lipca 2018 r. Prawo o szkolnictwie wyższym i nauce (Dz. U. z 2024 r. poz. 1571)</w:t>
      </w:r>
    </w:p>
  </w:footnote>
  <w:footnote w:id="4">
    <w:p w14:paraId="645FA374" w14:textId="77777777" w:rsidR="00E1459D" w:rsidRPr="008C24B7" w:rsidRDefault="00E1459D" w:rsidP="00E1459D">
      <w:pPr>
        <w:pStyle w:val="Tekstprzypisudolnego"/>
        <w:rPr>
          <w:rFonts w:asciiTheme="minorHAnsi" w:hAnsiTheme="minorHAnsi"/>
        </w:rPr>
      </w:pPr>
      <w:r w:rsidRPr="008C24B7">
        <w:rPr>
          <w:rStyle w:val="Odwoanieprzypisudolnego"/>
          <w:rFonts w:asciiTheme="minorHAnsi" w:hAnsiTheme="minorHAnsi"/>
        </w:rPr>
        <w:footnoteRef/>
      </w:r>
      <w:r w:rsidRPr="008C24B7">
        <w:rPr>
          <w:rFonts w:asciiTheme="minorHAnsi" w:hAnsiTheme="minorHAnsi"/>
        </w:rPr>
        <w:t xml:space="preserve"> </w:t>
      </w:r>
      <w:r w:rsidRPr="008C24B7">
        <w:rPr>
          <w:rFonts w:asciiTheme="minorHAnsi" w:eastAsiaTheme="minorHAnsi" w:hAnsiTheme="minorHAnsi" w:cs="ArialMT"/>
          <w:lang w:eastAsia="en-US"/>
        </w:rPr>
        <w:t>Ustawa z dnia 21 lutego 2019 r. o Agencji Badań Medycznych (Dz. U. z 2025 r. poz. 259).</w:t>
      </w:r>
    </w:p>
  </w:footnote>
  <w:footnote w:id="5">
    <w:p w14:paraId="440E9273" w14:textId="77777777" w:rsidR="00E1459D" w:rsidRPr="008C24B7" w:rsidRDefault="00E1459D" w:rsidP="00E1459D">
      <w:pPr>
        <w:pStyle w:val="Tekstprzypisudolnego"/>
        <w:rPr>
          <w:rFonts w:asciiTheme="minorHAnsi" w:hAnsiTheme="minorHAnsi"/>
        </w:rPr>
      </w:pPr>
      <w:r w:rsidRPr="008C24B7">
        <w:rPr>
          <w:rStyle w:val="Odwoanieprzypisudolnego"/>
          <w:rFonts w:asciiTheme="minorHAnsi" w:hAnsiTheme="minorHAnsi"/>
        </w:rPr>
        <w:footnoteRef/>
      </w:r>
      <w:r w:rsidRPr="008C24B7">
        <w:rPr>
          <w:rFonts w:asciiTheme="minorHAnsi" w:hAnsiTheme="minorHAnsi"/>
        </w:rPr>
        <w:t xml:space="preserve"> Rozporządzenie Parlamentu Europejskiego i Rady (UE) 2025/327 z dnia 11 lutego 2025 r. w sprawie</w:t>
      </w:r>
    </w:p>
    <w:p w14:paraId="7E152289" w14:textId="77777777" w:rsidR="00E1459D" w:rsidRPr="008C24B7" w:rsidRDefault="00E1459D" w:rsidP="00E1459D">
      <w:pPr>
        <w:pStyle w:val="Tekstprzypisudolnego"/>
        <w:rPr>
          <w:rFonts w:asciiTheme="minorHAnsi" w:hAnsiTheme="minorHAnsi"/>
        </w:rPr>
      </w:pPr>
      <w:r w:rsidRPr="008C24B7">
        <w:rPr>
          <w:rFonts w:asciiTheme="minorHAnsi" w:hAnsiTheme="minorHAnsi"/>
        </w:rPr>
        <w:t>europejskiej przestrzeni danych dotyczących zdrowia oraz zmiany dyrektywy 2011/24/UE i rozporządzenia</w:t>
      </w:r>
    </w:p>
    <w:p w14:paraId="0BDADD08" w14:textId="77777777" w:rsidR="00E1459D" w:rsidRPr="008C24B7" w:rsidRDefault="00E1459D" w:rsidP="00E1459D">
      <w:pPr>
        <w:pStyle w:val="Tekstprzypisudolnego"/>
        <w:rPr>
          <w:rFonts w:asciiTheme="minorHAnsi" w:hAnsiTheme="minorHAnsi"/>
        </w:rPr>
      </w:pPr>
      <w:r w:rsidRPr="008C24B7">
        <w:rPr>
          <w:rFonts w:asciiTheme="minorHAnsi" w:hAnsiTheme="minorHAnsi"/>
        </w:rPr>
        <w:t>(UE) 2024/2847 (dalej: EHDS).</w:t>
      </w:r>
    </w:p>
  </w:footnote>
  <w:footnote w:id="6">
    <w:p w14:paraId="7FAA0465" w14:textId="1B461AAD" w:rsidR="00480EF7" w:rsidRDefault="00480EF7" w:rsidP="00480EF7">
      <w:pPr>
        <w:pStyle w:val="Tekstprzypisudolnego"/>
      </w:pPr>
      <w:r>
        <w:rPr>
          <w:rStyle w:val="Odwoanieprzypisudolnego"/>
        </w:rPr>
        <w:footnoteRef/>
      </w:r>
      <w:r>
        <w:t xml:space="preserve"> </w:t>
      </w:r>
      <w:r>
        <w:t>Rozporządzenia Parlamentu Europejskiego i Rady (UE) nr 536/2014 z dnia 16 kwietnia 2014 r. w sprawie</w:t>
      </w:r>
      <w:r>
        <w:t xml:space="preserve"> </w:t>
      </w:r>
      <w:r>
        <w:t>badań klinicznych produktów leczniczych stosowanych u ludzi oraz uchylenia dyrektywy 2001/20/WE (Dz.U. L</w:t>
      </w:r>
      <w:r>
        <w:t xml:space="preserve"> </w:t>
      </w:r>
      <w:r>
        <w:t>158 z 27.5.2014).</w:t>
      </w:r>
    </w:p>
  </w:footnote>
  <w:footnote w:id="7">
    <w:p w14:paraId="167CDABB" w14:textId="77777777" w:rsidR="00E1459D" w:rsidRPr="008C24B7" w:rsidRDefault="00E1459D" w:rsidP="00E1459D">
      <w:pPr>
        <w:shd w:val="clear" w:color="auto" w:fill="FFFFFF"/>
        <w:rPr>
          <w:rFonts w:asciiTheme="minorHAnsi" w:hAnsiTheme="minorHAnsi" w:cs="Arial"/>
          <w:sz w:val="20"/>
          <w:szCs w:val="20"/>
        </w:rPr>
      </w:pPr>
      <w:r w:rsidRPr="008C24B7">
        <w:rPr>
          <w:rStyle w:val="Odwoanieprzypisudolnego"/>
          <w:rFonts w:asciiTheme="minorHAnsi" w:hAnsiTheme="minorHAnsi" w:cs="Arial"/>
          <w:sz w:val="20"/>
          <w:szCs w:val="20"/>
        </w:rPr>
        <w:footnoteRef/>
      </w:r>
      <w:r w:rsidRPr="008C24B7">
        <w:rPr>
          <w:rFonts w:asciiTheme="minorHAnsi" w:hAnsiTheme="minorHAnsi" w:cs="Arial"/>
          <w:sz w:val="20"/>
          <w:szCs w:val="20"/>
        </w:rPr>
        <w:t xml:space="preserve"> </w:t>
      </w:r>
      <w:r w:rsidRPr="008C24B7">
        <w:rPr>
          <w:rFonts w:asciiTheme="minorHAnsi" w:hAnsiTheme="minorHAnsi" w:cs="Arial"/>
          <w:sz w:val="20"/>
          <w:szCs w:val="20"/>
          <w:shd w:val="clear" w:color="auto" w:fill="FFFFFF"/>
        </w:rPr>
        <w:t xml:space="preserve">Przetwarzanie jest zgodne z prawem wyłącznie w przypadkach, gdy - i w takim zakresie, w jakim - spełniony jest co najmniej jeden z poniższych warunków: </w:t>
      </w:r>
      <w:r w:rsidRPr="008C24B7">
        <w:rPr>
          <w:rFonts w:asciiTheme="minorHAnsi" w:hAnsiTheme="minorHAnsi" w:cs="Arial"/>
          <w:sz w:val="20"/>
          <w:szCs w:val="20"/>
        </w:rPr>
        <w:t xml:space="preserve">c) </w:t>
      </w:r>
      <w:r w:rsidRPr="008C24B7">
        <w:rPr>
          <w:rFonts w:asciiTheme="minorHAnsi" w:hAnsiTheme="minorHAnsi" w:cs="Arial"/>
          <w:sz w:val="20"/>
          <w:szCs w:val="20"/>
          <w:shd w:val="clear" w:color="auto" w:fill="FFFFFF"/>
        </w:rPr>
        <w:t>przetwarzanie jest niezbędne do wypełnienia obowiązku prawnego ciążącego na administratorze.</w:t>
      </w:r>
    </w:p>
  </w:footnote>
  <w:footnote w:id="8">
    <w:p w14:paraId="4EDFF1B4" w14:textId="77777777" w:rsidR="00E1459D" w:rsidRPr="008C24B7" w:rsidRDefault="00E1459D" w:rsidP="00E1459D">
      <w:pPr>
        <w:rPr>
          <w:rFonts w:asciiTheme="minorHAnsi" w:hAnsiTheme="minorHAnsi" w:cs="Arial"/>
          <w:sz w:val="20"/>
          <w:szCs w:val="20"/>
        </w:rPr>
      </w:pPr>
      <w:r w:rsidRPr="008C24B7">
        <w:rPr>
          <w:rStyle w:val="Odwoanieprzypisudolnego"/>
          <w:rFonts w:asciiTheme="minorHAnsi" w:hAnsiTheme="minorHAnsi" w:cs="Arial"/>
          <w:sz w:val="20"/>
          <w:szCs w:val="20"/>
        </w:rPr>
        <w:footnoteRef/>
      </w:r>
      <w:r w:rsidRPr="008C24B7">
        <w:rPr>
          <w:rFonts w:asciiTheme="minorHAnsi" w:hAnsiTheme="minorHAnsi" w:cs="Arial"/>
          <w:sz w:val="20"/>
          <w:szCs w:val="20"/>
        </w:rPr>
        <w:t xml:space="preserve"> </w:t>
      </w:r>
      <w:r w:rsidRPr="008C24B7">
        <w:rPr>
          <w:rFonts w:asciiTheme="minorHAnsi" w:hAnsiTheme="minorHAnsi" w:cs="Arial"/>
          <w:sz w:val="20"/>
          <w:szCs w:val="20"/>
          <w:shd w:val="clear" w:color="auto" w:fill="FFFFFF"/>
        </w:rPr>
        <w:t>Podstawa przetwarzania, o którym mowa w ust. 1 lit. c) i e), musi być określona:</w:t>
      </w:r>
      <w:r w:rsidRPr="008C24B7">
        <w:rPr>
          <w:rFonts w:asciiTheme="minorHAnsi" w:hAnsiTheme="minorHAnsi" w:cs="Arial"/>
          <w:sz w:val="20"/>
          <w:szCs w:val="20"/>
        </w:rPr>
        <w:t xml:space="preserve"> a) w prawie Unii; lub b) w prawie państwa członkowskiego, któremu podlega administrator. Cel przetwarzania musi być określony w tej podstawie prawnej lub, w przypadku przetwarzania, o którym mowa w ust. 1 lit. e) - musi być ono niezbędne do wykonania zadania realizowanego w interesie publicznym lub w ramach sprawowania władzy publicznej powierzonej administratorowi. Podstawa prawna może zawierać przepisy szczegółowe dostosowujące stosowanie przepisów niniejszego rozporządzenia, w tym: ogólne warunki zgodności z prawem przetwarzania przez administratora; rodzaj danych podlegających przetwarzaniu; osoby, których dane dotyczą; podmioty, którym można ujawnić dane osobowe; cele, w których można je ujawnić; ograniczenia celu; okresy przechowywania; oraz operacje i procedury przetwarzania, w tym środki zapewniające zgodność z prawem i rzetelność przetwarzania, w tym w innych szczególnych sytuacjach związanych z przetwarzaniem, o których mowa w rozdziale IX. Prawo Unii lub prawo państwa członkowskiego muszą służyć realizacji celu leżącego w interesie publicznym, oraz być proporcjonalne do wyznaczonego, prawnie uzasadnionego celu.</w:t>
      </w:r>
    </w:p>
  </w:footnote>
  <w:footnote w:id="9">
    <w:p w14:paraId="004861F5" w14:textId="77777777" w:rsidR="00E1459D" w:rsidRPr="008C24B7" w:rsidRDefault="00E1459D" w:rsidP="00E1459D">
      <w:pPr>
        <w:pStyle w:val="Tekstprzypisudolnego"/>
        <w:rPr>
          <w:rFonts w:asciiTheme="minorHAnsi" w:hAnsiTheme="minorHAnsi" w:cs="Arial"/>
        </w:rPr>
      </w:pPr>
      <w:r w:rsidRPr="008C24B7">
        <w:rPr>
          <w:rStyle w:val="Odwoanieprzypisudolnego"/>
          <w:rFonts w:asciiTheme="minorHAnsi" w:hAnsiTheme="minorHAnsi" w:cs="Arial"/>
        </w:rPr>
        <w:footnoteRef/>
      </w:r>
      <w:r w:rsidRPr="008C24B7">
        <w:rPr>
          <w:rFonts w:asciiTheme="minorHAnsi" w:hAnsiTheme="minorHAnsi" w:cs="Arial"/>
        </w:rPr>
        <w:t xml:space="preserve"> Zob. wyroki TK z 19 maja 1998 r., sygn. akt U 5/97, 30 lipca 2014 r., sygn. akt K 23/11 oraz 19 lutego 2002 r., sygn. akt U 3/01.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838BA"/>
    <w:multiLevelType w:val="hybridMultilevel"/>
    <w:tmpl w:val="369ED812"/>
    <w:lvl w:ilvl="0" w:tplc="069A7CE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4258"/>
    <w:rsid w:val="00140BE8"/>
    <w:rsid w:val="0019648E"/>
    <w:rsid w:val="002715B2"/>
    <w:rsid w:val="003124D1"/>
    <w:rsid w:val="003B4105"/>
    <w:rsid w:val="00480EF7"/>
    <w:rsid w:val="004D086F"/>
    <w:rsid w:val="005F6527"/>
    <w:rsid w:val="006705EC"/>
    <w:rsid w:val="006E16E9"/>
    <w:rsid w:val="00807385"/>
    <w:rsid w:val="00944932"/>
    <w:rsid w:val="009E5FDB"/>
    <w:rsid w:val="00A06425"/>
    <w:rsid w:val="00AC7796"/>
    <w:rsid w:val="00B3386C"/>
    <w:rsid w:val="00B871B6"/>
    <w:rsid w:val="00BD6CE0"/>
    <w:rsid w:val="00C64B1B"/>
    <w:rsid w:val="00CD5EB0"/>
    <w:rsid w:val="00E1459D"/>
    <w:rsid w:val="00E14C33"/>
    <w:rsid w:val="00EE3BC9"/>
    <w:rsid w:val="00F117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D4C91E"/>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character" w:styleId="Odwoanieprzypisudolnego">
    <w:name w:val="footnote reference"/>
    <w:aliases w:val="(NECG) Footnote Reference,-E Fußnotenzeichen,16 Point,Char,Footnote,Footnote Reference Number,Footnote number,Footnote reference number,Footnote symbol,Nota,Odwołanie przypisu,Ref,SUPERS,de nota al pie,fr,note TESI,number,o"/>
    <w:basedOn w:val="Domylnaczcionkaakapitu"/>
    <w:uiPriority w:val="99"/>
    <w:unhideWhenUsed/>
    <w:rsid w:val="00E1459D"/>
    <w:rPr>
      <w:vertAlign w:val="superscript"/>
    </w:rPr>
  </w:style>
  <w:style w:type="paragraph" w:styleId="Tekstprzypisudolnego">
    <w:name w:val="footnote text"/>
    <w:basedOn w:val="Normalny"/>
    <w:link w:val="TekstprzypisudolnegoZnak"/>
    <w:uiPriority w:val="99"/>
    <w:unhideWhenUsed/>
    <w:rsid w:val="00E1459D"/>
    <w:rPr>
      <w:sz w:val="20"/>
      <w:szCs w:val="20"/>
    </w:rPr>
  </w:style>
  <w:style w:type="character" w:customStyle="1" w:styleId="TekstprzypisudolnegoZnak">
    <w:name w:val="Tekst przypisu dolnego Znak"/>
    <w:basedOn w:val="Domylnaczcionkaakapitu"/>
    <w:link w:val="Tekstprzypisudolnego"/>
    <w:uiPriority w:val="99"/>
    <w:rsid w:val="00E1459D"/>
  </w:style>
  <w:style w:type="character" w:styleId="Hipercze">
    <w:name w:val="Hyperlink"/>
    <w:basedOn w:val="Domylnaczcionkaakapitu"/>
    <w:uiPriority w:val="99"/>
    <w:unhideWhenUsed/>
    <w:rsid w:val="00E1459D"/>
    <w:rPr>
      <w:color w:val="0563C1" w:themeColor="hyperlink"/>
      <w:u w:val="single"/>
    </w:rPr>
  </w:style>
  <w:style w:type="paragraph" w:styleId="Akapitzlist">
    <w:name w:val="List Paragraph"/>
    <w:basedOn w:val="Normalny"/>
    <w:uiPriority w:val="34"/>
    <w:qFormat/>
    <w:rsid w:val="00E1459D"/>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uodo.gov.pl/pl/138/388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1079</Words>
  <Characters>6479</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Monika Kołakowska-Skorupa</cp:lastModifiedBy>
  <cp:revision>4</cp:revision>
  <dcterms:created xsi:type="dcterms:W3CDTF">2026-05-25T14:31:00Z</dcterms:created>
  <dcterms:modified xsi:type="dcterms:W3CDTF">2026-05-26T09:26:00Z</dcterms:modified>
</cp:coreProperties>
</file>